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9F1AF" w14:textId="13183101" w:rsidR="00EE5192" w:rsidRDefault="00EE5192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  <w:r>
        <w:rPr>
          <w:noProof/>
        </w:rPr>
        <w:drawing>
          <wp:inline distT="0" distB="0" distL="0" distR="0" wp14:anchorId="06B25F30" wp14:editId="03FA55C9">
            <wp:extent cx="2581275" cy="895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C9E86" w14:textId="77777777" w:rsidR="006B70AA" w:rsidRDefault="006B70AA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  <w:bookmarkStart w:id="0" w:name="_GoBack"/>
      <w:bookmarkEnd w:id="0"/>
    </w:p>
    <w:p w14:paraId="6149BDC9" w14:textId="77777777" w:rsidR="00EE5192" w:rsidRDefault="00EE5192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</w:p>
    <w:p w14:paraId="01176466" w14:textId="65F65698" w:rsidR="00C11449" w:rsidRPr="006B70AA" w:rsidRDefault="00C11449" w:rsidP="000C1B10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  <w:r w:rsidRPr="006B70AA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>Фондация „Тръст за социална алтернатива“ обявява процедура за избор на изпълнител по реда на ПМС 118</w:t>
      </w:r>
    </w:p>
    <w:p w14:paraId="3664F649" w14:textId="402F6DC0" w:rsidR="00C11449" w:rsidRDefault="00C11449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</w:p>
    <w:p w14:paraId="76923F54" w14:textId="26C71A0E" w:rsidR="00C11449" w:rsidRPr="00C11449" w:rsidRDefault="00C11449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12.08.2019</w:t>
      </w:r>
    </w:p>
    <w:p w14:paraId="58A2FA8B" w14:textId="77777777" w:rsidR="00C11449" w:rsidRDefault="00C11449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</w:p>
    <w:p w14:paraId="6502A17B" w14:textId="1C2CE344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Фондация „Тръст за социална алтернатива“ обявява процедура за избор на изпълнител по реда на ПМС 118 от 20.05.2014г. за предоставяне на 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услуги за менторска подкрепа за студенти от ромски произход, изучаващи здравни специалности</w:t>
      </w:r>
      <w:r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, в рамките на проект „Менторска подкрепа за студенти от ромски произход, изучаващи здравни специалности“, 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финансиран от Фонд Активни граждани (Active Citizens Fund), в рамките на Финансовия механизъм на Европейското икономическо пространство</w:t>
      </w:r>
      <w:r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 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2014-2021 г.</w:t>
      </w:r>
    </w:p>
    <w:p w14:paraId="30F9E73E" w14:textId="77777777" w:rsidR="000C1B10" w:rsidRPr="000C1B10" w:rsidRDefault="00023FD9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    </w:t>
      </w:r>
      <w:r w:rsidR="000C1B10"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7E28FD27" w14:textId="7BB1250E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Прогнозна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стойност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в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лева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: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402 600 (</w:t>
      </w:r>
      <w:proofErr w:type="spellStart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четиристотин</w:t>
      </w:r>
      <w:proofErr w:type="spellEnd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 xml:space="preserve"> и </w:t>
      </w:r>
      <w:proofErr w:type="spellStart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две</w:t>
      </w:r>
      <w:proofErr w:type="spellEnd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хиляди</w:t>
      </w:r>
      <w:proofErr w:type="spellEnd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C11449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и </w:t>
      </w:r>
      <w:proofErr w:type="spellStart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шестстотин</w:t>
      </w:r>
      <w:proofErr w:type="spellEnd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 xml:space="preserve">) </w:t>
      </w:r>
      <w:proofErr w:type="spellStart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лева</w:t>
      </w:r>
      <w:proofErr w:type="spellEnd"/>
      <w:r w:rsidR="00D311EE" w:rsidRPr="00D311EE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14:paraId="0584B3E3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4EF5C289" w14:textId="77777777" w:rsidR="00D311EE" w:rsidRPr="00D311EE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</w:pP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Място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на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изпълнение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на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услугата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:</w:t>
      </w:r>
      <w:r w:rsidR="00D311E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  <w:t xml:space="preserve"> </w:t>
      </w:r>
      <w:r w:rsidR="00D311EE" w:rsidRPr="008E229D">
        <w:rPr>
          <w:lang w:val="bg-BG"/>
        </w:rPr>
        <w:t xml:space="preserve">Учебните и болнични заведения, които се ползват от студентите, изучаващи здравни специалности на </w:t>
      </w:r>
      <w:r w:rsidR="00D311EE">
        <w:rPr>
          <w:lang w:val="bg-BG"/>
        </w:rPr>
        <w:t>т</w:t>
      </w:r>
      <w:r w:rsidR="00D311EE" w:rsidRPr="008E229D">
        <w:rPr>
          <w:lang w:val="bg-BG"/>
        </w:rPr>
        <w:t xml:space="preserve">ериторията на </w:t>
      </w:r>
      <w:r w:rsidR="00D311EE" w:rsidRPr="007000A7">
        <w:rPr>
          <w:color w:val="000000" w:themeColor="text1"/>
          <w:lang w:val="bg-BG"/>
        </w:rPr>
        <w:t>Република България в градовете София, Варна, Плевен, Враца, Пловдив и Стара Загора</w:t>
      </w:r>
      <w:r w:rsidR="00D311EE">
        <w:rPr>
          <w:color w:val="000000" w:themeColor="text1"/>
          <w:lang w:val="bg-BG"/>
        </w:rPr>
        <w:t>.</w:t>
      </w:r>
    </w:p>
    <w:p w14:paraId="4534EF04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1AC23FDA" w14:textId="471B2AC1" w:rsidR="000C1B10" w:rsidRPr="000C1B10" w:rsidRDefault="704B6D1D" w:rsidP="704B6D1D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proofErr w:type="spellStart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Критерият</w:t>
      </w:r>
      <w:proofErr w:type="spellEnd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за</w:t>
      </w:r>
      <w:proofErr w:type="spellEnd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оценка</w:t>
      </w:r>
      <w:proofErr w:type="spellEnd"/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е </w:t>
      </w:r>
      <w:r w:rsidRPr="704B6D1D">
        <w:rPr>
          <w:rFonts w:ascii="Verdana" w:eastAsia="Verdana" w:hAnsi="Verdana" w:cs="Verdana"/>
          <w:sz w:val="20"/>
          <w:szCs w:val="20"/>
        </w:rPr>
        <w:t>„</w:t>
      </w:r>
      <w:proofErr w:type="spellStart"/>
      <w:r w:rsidRPr="704B6D1D">
        <w:rPr>
          <w:rFonts w:ascii="Verdana" w:eastAsia="Verdana" w:hAnsi="Verdana" w:cs="Verdana"/>
          <w:sz w:val="20"/>
          <w:szCs w:val="20"/>
        </w:rPr>
        <w:t>оптимално</w:t>
      </w:r>
      <w:proofErr w:type="spellEnd"/>
      <w:r w:rsidRPr="704B6D1D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Pr="704B6D1D">
        <w:rPr>
          <w:rFonts w:ascii="Verdana" w:eastAsia="Verdana" w:hAnsi="Verdana" w:cs="Verdana"/>
          <w:sz w:val="20"/>
          <w:szCs w:val="20"/>
        </w:rPr>
        <w:t>съотношение</w:t>
      </w:r>
      <w:proofErr w:type="spellEnd"/>
      <w:r w:rsidRPr="704B6D1D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Pr="704B6D1D">
        <w:rPr>
          <w:rFonts w:ascii="Verdana" w:eastAsia="Verdana" w:hAnsi="Verdana" w:cs="Verdana"/>
          <w:sz w:val="20"/>
          <w:szCs w:val="20"/>
        </w:rPr>
        <w:t>качество</w:t>
      </w:r>
      <w:proofErr w:type="spellEnd"/>
      <w:r w:rsidRPr="704B6D1D">
        <w:rPr>
          <w:rFonts w:ascii="Verdana" w:eastAsia="Verdana" w:hAnsi="Verdana" w:cs="Verdana"/>
          <w:sz w:val="20"/>
          <w:szCs w:val="20"/>
        </w:rPr>
        <w:t>/</w:t>
      </w:r>
      <w:proofErr w:type="spellStart"/>
      <w:r w:rsidRPr="704B6D1D">
        <w:rPr>
          <w:rFonts w:ascii="Verdana" w:eastAsia="Verdana" w:hAnsi="Verdana" w:cs="Verdana"/>
          <w:sz w:val="20"/>
          <w:szCs w:val="20"/>
        </w:rPr>
        <w:t>цена</w:t>
      </w:r>
      <w:proofErr w:type="spellEnd"/>
      <w:r w:rsidRPr="704B6D1D">
        <w:rPr>
          <w:rFonts w:ascii="Verdana" w:eastAsia="Verdana" w:hAnsi="Verdana" w:cs="Verdana"/>
          <w:sz w:val="20"/>
          <w:szCs w:val="20"/>
        </w:rPr>
        <w:t>“</w:t>
      </w:r>
      <w:r w:rsidRPr="704B6D1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.</w:t>
      </w:r>
    </w:p>
    <w:p w14:paraId="2918480B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23908A2A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Срокът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за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получаване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на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офертите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е </w:t>
      </w:r>
      <w:r w:rsidR="00D311EE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23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D311EE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август 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201</w:t>
      </w:r>
      <w:r w:rsidR="00D311EE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9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г., </w:t>
      </w:r>
      <w:r w:rsidR="00D311EE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18,00</w:t>
      </w: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ч.</w:t>
      </w:r>
    </w:p>
    <w:p w14:paraId="7B1141A0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600F8531" w14:textId="038E7EC8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Пълният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текст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на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публичната</w:t>
      </w:r>
      <w:proofErr w:type="spellEnd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покана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можете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да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изтеглите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AFF0"/>
          <w:sz w:val="20"/>
          <w:szCs w:val="20"/>
          <w:u w:val="single"/>
        </w:rPr>
        <w:t>тук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14:paraId="4E75A28F" w14:textId="77777777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11EA2829" w14:textId="4CCDED5F" w:rsidR="000C1B10" w:rsidRPr="000C1B10" w:rsidRDefault="000C1B10" w:rsidP="000C1B1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Цялата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документация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за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процедурата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за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избор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на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изпълнител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,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заедно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с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необходимите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образци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можете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да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изтеглите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0C1B10">
        <w:rPr>
          <w:rFonts w:ascii="Verdana" w:eastAsia="Times New Roman" w:hAnsi="Verdana" w:cs="Times New Roman"/>
          <w:color w:val="00AFF0"/>
          <w:sz w:val="20"/>
          <w:szCs w:val="20"/>
          <w:u w:val="single"/>
        </w:rPr>
        <w:t>тук</w:t>
      </w:r>
      <w:proofErr w:type="spellEnd"/>
      <w:r w:rsidRPr="000C1B10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14:paraId="5F13690F" w14:textId="77777777" w:rsidR="00D87FA1" w:rsidRDefault="006B70AA"/>
    <w:sectPr w:rsidR="00D87F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10"/>
    <w:rsid w:val="00023FD9"/>
    <w:rsid w:val="000C1B10"/>
    <w:rsid w:val="00236029"/>
    <w:rsid w:val="00552C2F"/>
    <w:rsid w:val="006B70AA"/>
    <w:rsid w:val="008E7E8A"/>
    <w:rsid w:val="00C11449"/>
    <w:rsid w:val="00D311EE"/>
    <w:rsid w:val="00EE5192"/>
    <w:rsid w:val="704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4B3A2"/>
  <w15:chartTrackingRefBased/>
  <w15:docId w15:val="{6FFA6711-DBE7-44B1-A6DB-EB63EE36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1B1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C1B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97E2C-6C81-4CFE-A472-E06205C3EB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8A97B-D2A8-46ED-8EA3-BFC2861470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A4BA5-BFB6-4543-B580-38B031A46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9E01D4-E7C9-4C13-B0C4-542EC1F0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milen</cp:lastModifiedBy>
  <cp:revision>5</cp:revision>
  <dcterms:created xsi:type="dcterms:W3CDTF">2019-08-09T10:35:00Z</dcterms:created>
  <dcterms:modified xsi:type="dcterms:W3CDTF">2019-08-11T15:44:00Z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